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85F82" w14:textId="648C77BA" w:rsidR="00D7524B" w:rsidRDefault="00D7524B" w:rsidP="00D7524B">
      <w:pPr>
        <w:widowControl w:val="0"/>
        <w:autoSpaceDE w:val="0"/>
        <w:autoSpaceDN w:val="0"/>
        <w:adjustRightInd w:val="0"/>
      </w:pPr>
    </w:p>
    <w:p w14:paraId="7BD9FA53" w14:textId="65E0080C" w:rsidR="005507C7" w:rsidRPr="005507C7" w:rsidRDefault="005507C7" w:rsidP="005507C7">
      <w:pPr>
        <w:widowControl w:val="0"/>
        <w:autoSpaceDE w:val="0"/>
        <w:autoSpaceDN w:val="0"/>
        <w:adjustRightInd w:val="0"/>
        <w:jc w:val="center"/>
        <w:rPr>
          <w:b/>
          <w:u w:val="single"/>
        </w:rPr>
      </w:pPr>
      <w:r w:rsidRPr="005507C7">
        <w:rPr>
          <w:b/>
          <w:u w:val="single"/>
        </w:rPr>
        <w:t>THECB ANNUAL REPORTING FORMAT</w:t>
      </w:r>
    </w:p>
    <w:p w14:paraId="5EA1A5E0" w14:textId="35E9166D" w:rsidR="005507C7" w:rsidRDefault="005507C7" w:rsidP="00D7524B">
      <w:pPr>
        <w:widowControl w:val="0"/>
        <w:autoSpaceDE w:val="0"/>
        <w:autoSpaceDN w:val="0"/>
        <w:adjustRightInd w:val="0"/>
      </w:pPr>
    </w:p>
    <w:p w14:paraId="5224AA41" w14:textId="7F9DD63D" w:rsidR="005507C7" w:rsidRPr="005507C7" w:rsidRDefault="005507C7" w:rsidP="005507C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507C7">
        <w:rPr>
          <w:b/>
        </w:rPr>
        <w:t>SUMMARY DATA REPORT</w:t>
      </w:r>
    </w:p>
    <w:p w14:paraId="6530E834" w14:textId="6B4B775A" w:rsidR="005507C7" w:rsidRPr="005507C7" w:rsidRDefault="005507C7" w:rsidP="005507C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507C7">
        <w:rPr>
          <w:b/>
        </w:rPr>
        <w:t>202</w:t>
      </w:r>
      <w:r w:rsidR="00393468">
        <w:rPr>
          <w:b/>
        </w:rPr>
        <w:t>2</w:t>
      </w:r>
      <w:r w:rsidRPr="005507C7">
        <w:rPr>
          <w:b/>
        </w:rPr>
        <w:t>-202</w:t>
      </w:r>
      <w:r w:rsidR="00393468">
        <w:rPr>
          <w:b/>
        </w:rPr>
        <w:t>3</w:t>
      </w:r>
      <w:r w:rsidRPr="005507C7">
        <w:rPr>
          <w:b/>
        </w:rPr>
        <w:t xml:space="preserve"> ACADEMIC YEAR</w:t>
      </w:r>
    </w:p>
    <w:p w14:paraId="4A0E2678" w14:textId="1D023C30" w:rsidR="005507C7" w:rsidRPr="005507C7" w:rsidRDefault="0027524D" w:rsidP="005507C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WEST TEXAS A&amp;M UNIVERSITY</w:t>
      </w:r>
    </w:p>
    <w:p w14:paraId="25847F28" w14:textId="3B74F075" w:rsidR="005507C7" w:rsidRPr="005507C7" w:rsidRDefault="005507C7" w:rsidP="005507C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507C7">
        <w:rPr>
          <w:b/>
        </w:rPr>
        <w:t xml:space="preserve">ISSUED </w:t>
      </w:r>
      <w:r w:rsidR="006A55CA">
        <w:rPr>
          <w:b/>
        </w:rPr>
        <w:t>10/23/2023</w:t>
      </w:r>
    </w:p>
    <w:p w14:paraId="6E576074" w14:textId="77777777" w:rsidR="005507C7" w:rsidRDefault="005507C7" w:rsidP="00D7524B">
      <w:pPr>
        <w:widowControl w:val="0"/>
        <w:autoSpaceDE w:val="0"/>
        <w:autoSpaceDN w:val="0"/>
        <w:adjustRightInd w:val="0"/>
      </w:pPr>
    </w:p>
    <w:p w14:paraId="53673717" w14:textId="6A9E4A32" w:rsidR="005507C7" w:rsidRPr="005507C7" w:rsidRDefault="005507C7" w:rsidP="005507C7">
      <w:pPr>
        <w:widowControl w:val="0"/>
        <w:autoSpaceDE w:val="0"/>
        <w:autoSpaceDN w:val="0"/>
        <w:adjustRightInd w:val="0"/>
        <w:rPr>
          <w:b/>
          <w:u w:val="single"/>
        </w:rPr>
      </w:pPr>
      <w:r w:rsidRPr="005507C7">
        <w:rPr>
          <w:b/>
          <w:u w:val="single"/>
        </w:rPr>
        <w:t>Introduction</w:t>
      </w:r>
    </w:p>
    <w:p w14:paraId="55913E7F" w14:textId="243CDFB3" w:rsidR="005507C7" w:rsidRDefault="005507C7" w:rsidP="005507C7">
      <w:pPr>
        <w:widowControl w:val="0"/>
        <w:autoSpaceDE w:val="0"/>
        <w:autoSpaceDN w:val="0"/>
        <w:adjustRightInd w:val="0"/>
      </w:pPr>
    </w:p>
    <w:p w14:paraId="142A45E2" w14:textId="369A1F46" w:rsidR="005507C7" w:rsidRDefault="005507C7" w:rsidP="005507C7">
      <w:pPr>
        <w:widowControl w:val="0"/>
        <w:autoSpaceDE w:val="0"/>
        <w:autoSpaceDN w:val="0"/>
        <w:adjustRightInd w:val="0"/>
      </w:pPr>
      <w:r>
        <w:t xml:space="preserve">As required by Texas Education Code 51.252, the following statistics relate to employee reporting of incidents </w:t>
      </w:r>
      <w:r w:rsidR="0094592D">
        <w:t>(</w:t>
      </w:r>
      <w:r w:rsidR="0094592D" w:rsidRPr="0094592D">
        <w:t>sexual harassment, sexual assault, dating violence, or stalking and is alleged to have been committed by or against a person who was a student enrolled at or an employee of the institution at the time of the incident</w:t>
      </w:r>
      <w:r w:rsidR="0094592D">
        <w:t xml:space="preserve">) </w:t>
      </w:r>
      <w:r w:rsidR="006D7AF9">
        <w:t>at</w:t>
      </w:r>
      <w:r>
        <w:t xml:space="preserve"> </w:t>
      </w:r>
      <w:r w:rsidR="0027524D">
        <w:t>West Texas A&amp;M University</w:t>
      </w:r>
      <w:r>
        <w:t xml:space="preserve">. </w:t>
      </w:r>
      <w:r w:rsidR="006D7AF9" w:rsidRPr="006D7AF9">
        <w:t>In the interest of greater transparency, The A&amp;M System has elected to provide statistics on employee reporting, student reporting, and third-party reporting.</w:t>
      </w:r>
    </w:p>
    <w:p w14:paraId="466FF2EC" w14:textId="77777777" w:rsidR="005507C7" w:rsidRDefault="005507C7" w:rsidP="005507C7">
      <w:pPr>
        <w:widowControl w:val="0"/>
        <w:autoSpaceDE w:val="0"/>
        <w:autoSpaceDN w:val="0"/>
        <w:adjustRightInd w:val="0"/>
      </w:pPr>
    </w:p>
    <w:p w14:paraId="69393EFF" w14:textId="47FF570C" w:rsidR="005507C7" w:rsidRDefault="005507C7" w:rsidP="005507C7">
      <w:pPr>
        <w:widowControl w:val="0"/>
        <w:autoSpaceDE w:val="0"/>
        <w:autoSpaceDN w:val="0"/>
        <w:adjustRightInd w:val="0"/>
      </w:pPr>
      <w:r>
        <w:t>Although many complaints are reported to Title IX Coordinators, cases are often not investigated under System Regulation 08.01.01 for numerous reasons, including:</w:t>
      </w:r>
    </w:p>
    <w:p w14:paraId="3F210622" w14:textId="77777777" w:rsidR="005507C7" w:rsidRDefault="005507C7" w:rsidP="005507C7">
      <w:pPr>
        <w:widowControl w:val="0"/>
        <w:autoSpaceDE w:val="0"/>
        <w:autoSpaceDN w:val="0"/>
        <w:adjustRightInd w:val="0"/>
      </w:pPr>
    </w:p>
    <w:p w14:paraId="693568A8" w14:textId="522D0633" w:rsidR="005507C7" w:rsidRDefault="005507C7" w:rsidP="005507C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The complaint describes an incident that took place before the complainant was a student or employee in the A&amp;M System, e.g. incidents that occurred in middle school or high school, or at another institution/agency;</w:t>
      </w:r>
    </w:p>
    <w:p w14:paraId="41D1E20F" w14:textId="75282B41" w:rsidR="005507C7" w:rsidRDefault="005507C7" w:rsidP="00912B3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The complaint is submitted anonymously and critical information needed to investigate th</w:t>
      </w:r>
      <w:r w:rsidR="006D7AF9">
        <w:t>e complaint is not available</w:t>
      </w:r>
      <w:r>
        <w:t>;</w:t>
      </w:r>
    </w:p>
    <w:p w14:paraId="6A8CDFA8" w14:textId="0E59B0B6" w:rsidR="005507C7" w:rsidRDefault="005507C7" w:rsidP="005507C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The complainant specifically asks t</w:t>
      </w:r>
      <w:r w:rsidR="006D7AF9">
        <w:t>hat no investigation be pursued, or;</w:t>
      </w:r>
    </w:p>
    <w:p w14:paraId="21DCFEF3" w14:textId="69687ED4" w:rsidR="006D7AF9" w:rsidRDefault="006D7AF9" w:rsidP="005507C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The case is resolved through informal resolution</w:t>
      </w:r>
      <w:r w:rsidR="00075D9F">
        <w:rPr>
          <w:rStyle w:val="FootnoteReference"/>
        </w:rPr>
        <w:footnoteReference w:id="1"/>
      </w:r>
      <w:r>
        <w:t xml:space="preserve"> in lieu of a formal process.</w:t>
      </w:r>
    </w:p>
    <w:p w14:paraId="0746AFAE" w14:textId="1A837820" w:rsidR="0094592D" w:rsidRDefault="0094592D" w:rsidP="0094592D">
      <w:pPr>
        <w:widowControl w:val="0"/>
        <w:autoSpaceDE w:val="0"/>
        <w:autoSpaceDN w:val="0"/>
        <w:adjustRightInd w:val="0"/>
      </w:pPr>
    </w:p>
    <w:p w14:paraId="4A864CEE" w14:textId="26A34016" w:rsidR="005507C7" w:rsidRPr="005507C7" w:rsidRDefault="005507C7" w:rsidP="00D7524B">
      <w:pPr>
        <w:widowControl w:val="0"/>
        <w:autoSpaceDE w:val="0"/>
        <w:autoSpaceDN w:val="0"/>
        <w:adjustRightInd w:val="0"/>
        <w:rPr>
          <w:b/>
          <w:u w:val="single"/>
        </w:rPr>
      </w:pPr>
      <w:r w:rsidRPr="005507C7">
        <w:rPr>
          <w:b/>
          <w:u w:val="single"/>
        </w:rPr>
        <w:t>Statistical Report</w:t>
      </w:r>
    </w:p>
    <w:p w14:paraId="5FDE4FF3" w14:textId="6EAE13D0" w:rsidR="005507C7" w:rsidRDefault="005507C7" w:rsidP="00D7524B">
      <w:pPr>
        <w:widowControl w:val="0"/>
        <w:autoSpaceDE w:val="0"/>
        <w:autoSpaceDN w:val="0"/>
        <w:adjustRightInd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8"/>
        <w:gridCol w:w="1557"/>
        <w:gridCol w:w="1440"/>
        <w:gridCol w:w="1530"/>
        <w:gridCol w:w="1255"/>
      </w:tblGrid>
      <w:tr w:rsidR="00907885" w14:paraId="28269952" w14:textId="5B181DF8" w:rsidTr="00051A8B">
        <w:tc>
          <w:tcPr>
            <w:tcW w:w="9350" w:type="dxa"/>
            <w:gridSpan w:val="5"/>
            <w:shd w:val="clear" w:color="auto" w:fill="D9D9D9" w:themeFill="background1" w:themeFillShade="D9"/>
          </w:tcPr>
          <w:p w14:paraId="306CD1D9" w14:textId="77777777" w:rsidR="00907885" w:rsidRDefault="00907885" w:rsidP="005507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07C7">
              <w:rPr>
                <w:b/>
              </w:rPr>
              <w:t>Texas Education Code, Section 51.252</w:t>
            </w:r>
          </w:p>
          <w:p w14:paraId="47428E5B" w14:textId="327E4012" w:rsidR="00907885" w:rsidRPr="005507C7" w:rsidRDefault="00907885" w:rsidP="005507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07885" w14:paraId="0D5812CD" w14:textId="543BA81F" w:rsidTr="00907885">
        <w:tc>
          <w:tcPr>
            <w:tcW w:w="3568" w:type="dxa"/>
            <w:shd w:val="clear" w:color="auto" w:fill="D9D9D9" w:themeFill="background1" w:themeFillShade="D9"/>
          </w:tcPr>
          <w:p w14:paraId="6BD4A286" w14:textId="77777777" w:rsidR="00907885" w:rsidRDefault="00907885" w:rsidP="00D752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7" w:type="dxa"/>
          </w:tcPr>
          <w:p w14:paraId="078F8835" w14:textId="1A229F20" w:rsidR="00907885" w:rsidRDefault="00907885" w:rsidP="005507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07C7">
              <w:rPr>
                <w:b/>
              </w:rPr>
              <w:t>202</w:t>
            </w:r>
            <w:r w:rsidR="00393468">
              <w:rPr>
                <w:b/>
              </w:rPr>
              <w:t>2</w:t>
            </w:r>
            <w:r w:rsidRPr="005507C7">
              <w:rPr>
                <w:b/>
              </w:rPr>
              <w:t>-202</w:t>
            </w:r>
            <w:r w:rsidR="00393468">
              <w:rPr>
                <w:b/>
              </w:rPr>
              <w:t>3</w:t>
            </w:r>
          </w:p>
          <w:p w14:paraId="576BD04F" w14:textId="28B32344" w:rsidR="00907885" w:rsidRPr="005507C7" w:rsidRDefault="00907885" w:rsidP="005507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Employee Reports</w:t>
            </w:r>
          </w:p>
        </w:tc>
        <w:tc>
          <w:tcPr>
            <w:tcW w:w="1440" w:type="dxa"/>
          </w:tcPr>
          <w:p w14:paraId="61AF923F" w14:textId="72169AF4" w:rsidR="00907885" w:rsidRPr="005507C7" w:rsidRDefault="00907885" w:rsidP="00501B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93468">
              <w:rPr>
                <w:b/>
              </w:rPr>
              <w:t>2</w:t>
            </w:r>
            <w:r>
              <w:rPr>
                <w:b/>
              </w:rPr>
              <w:t>-202</w:t>
            </w:r>
            <w:r w:rsidR="00393468">
              <w:rPr>
                <w:b/>
              </w:rPr>
              <w:t>3</w:t>
            </w:r>
            <w:r>
              <w:rPr>
                <w:b/>
              </w:rPr>
              <w:t xml:space="preserve"> Student Reports</w:t>
            </w:r>
          </w:p>
        </w:tc>
        <w:tc>
          <w:tcPr>
            <w:tcW w:w="1530" w:type="dxa"/>
          </w:tcPr>
          <w:p w14:paraId="739DF5E1" w14:textId="7C2878EA" w:rsidR="00907885" w:rsidRDefault="00907885" w:rsidP="005507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93468">
              <w:rPr>
                <w:b/>
              </w:rPr>
              <w:t>2</w:t>
            </w:r>
            <w:r>
              <w:rPr>
                <w:b/>
              </w:rPr>
              <w:t>-202</w:t>
            </w:r>
            <w:r w:rsidR="00393468">
              <w:rPr>
                <w:b/>
              </w:rPr>
              <w:t>3</w:t>
            </w:r>
          </w:p>
          <w:p w14:paraId="41D931D3" w14:textId="07990922" w:rsidR="00907885" w:rsidRDefault="00075D9F" w:rsidP="005507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Third-Party</w:t>
            </w:r>
          </w:p>
          <w:p w14:paraId="1A670BD6" w14:textId="23D77FAF" w:rsidR="00907885" w:rsidRDefault="00907885" w:rsidP="005507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Reports</w:t>
            </w:r>
          </w:p>
        </w:tc>
        <w:tc>
          <w:tcPr>
            <w:tcW w:w="1255" w:type="dxa"/>
          </w:tcPr>
          <w:p w14:paraId="1014B7C7" w14:textId="5FADF92E" w:rsidR="00907885" w:rsidRDefault="00907885" w:rsidP="005507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93468">
              <w:rPr>
                <w:b/>
              </w:rPr>
              <w:t>2</w:t>
            </w:r>
            <w:r>
              <w:rPr>
                <w:b/>
              </w:rPr>
              <w:t>-202</w:t>
            </w:r>
            <w:r w:rsidR="00393468">
              <w:rPr>
                <w:b/>
              </w:rPr>
              <w:t>3</w:t>
            </w:r>
          </w:p>
          <w:p w14:paraId="0FAD82E8" w14:textId="2D49171A" w:rsidR="00907885" w:rsidRDefault="00907885" w:rsidP="005507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907885" w14:paraId="3A330034" w14:textId="0FD9A3C2" w:rsidTr="00907885">
        <w:tc>
          <w:tcPr>
            <w:tcW w:w="3568" w:type="dxa"/>
            <w:shd w:val="clear" w:color="auto" w:fill="D9D9D9" w:themeFill="background1" w:themeFillShade="D9"/>
          </w:tcPr>
          <w:p w14:paraId="06D60D2E" w14:textId="1CC89520" w:rsidR="00907885" w:rsidRDefault="00907885" w:rsidP="00D7524B">
            <w:pPr>
              <w:widowControl w:val="0"/>
              <w:autoSpaceDE w:val="0"/>
              <w:autoSpaceDN w:val="0"/>
              <w:adjustRightInd w:val="0"/>
            </w:pPr>
            <w:r>
              <w:t>Number of reports received under Section 51.252</w:t>
            </w:r>
          </w:p>
        </w:tc>
        <w:tc>
          <w:tcPr>
            <w:tcW w:w="1557" w:type="dxa"/>
          </w:tcPr>
          <w:p w14:paraId="5CC454DB" w14:textId="17316195" w:rsidR="00907885" w:rsidRDefault="006E6949" w:rsidP="006E63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6E631E">
              <w:t>9</w:t>
            </w:r>
          </w:p>
        </w:tc>
        <w:tc>
          <w:tcPr>
            <w:tcW w:w="1440" w:type="dxa"/>
          </w:tcPr>
          <w:p w14:paraId="2DD88119" w14:textId="4667C48E" w:rsidR="00907885" w:rsidRDefault="006E6949" w:rsidP="005C37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6E631E">
              <w:t>1</w:t>
            </w:r>
          </w:p>
        </w:tc>
        <w:tc>
          <w:tcPr>
            <w:tcW w:w="1530" w:type="dxa"/>
          </w:tcPr>
          <w:p w14:paraId="614966EC" w14:textId="5B3371F5" w:rsidR="00907885" w:rsidRDefault="005307BF" w:rsidP="005C37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55" w:type="dxa"/>
          </w:tcPr>
          <w:p w14:paraId="2B6BF443" w14:textId="08F60127" w:rsidR="00907885" w:rsidRDefault="006E631E" w:rsidP="005C37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</w:tr>
      <w:tr w:rsidR="00907885" w14:paraId="40775DE8" w14:textId="7B6F74D7" w:rsidTr="00907885">
        <w:tc>
          <w:tcPr>
            <w:tcW w:w="3568" w:type="dxa"/>
            <w:shd w:val="clear" w:color="auto" w:fill="D9D9D9" w:themeFill="background1" w:themeFillShade="D9"/>
          </w:tcPr>
          <w:p w14:paraId="519BAB9F" w14:textId="495A07F3" w:rsidR="00907885" w:rsidRDefault="00907885" w:rsidP="00B84E7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>Number of confidential reports</w:t>
            </w:r>
            <w:r>
              <w:rPr>
                <w:rStyle w:val="FootnoteReference"/>
              </w:rPr>
              <w:footnoteReference w:id="2"/>
            </w:r>
            <w:r>
              <w:t xml:space="preserve"> under section </w:t>
            </w:r>
            <w:r>
              <w:lastRenderedPageBreak/>
              <w:t>51.252</w:t>
            </w:r>
          </w:p>
        </w:tc>
        <w:tc>
          <w:tcPr>
            <w:tcW w:w="1557" w:type="dxa"/>
          </w:tcPr>
          <w:p w14:paraId="5C13DFB5" w14:textId="4E61505B" w:rsidR="00907885" w:rsidRDefault="001069D6" w:rsidP="005C37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</w:t>
            </w:r>
          </w:p>
        </w:tc>
        <w:tc>
          <w:tcPr>
            <w:tcW w:w="1440" w:type="dxa"/>
          </w:tcPr>
          <w:p w14:paraId="06F1E937" w14:textId="76F88AD7" w:rsidR="00907885" w:rsidRDefault="001069D6" w:rsidP="005C37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30" w:type="dxa"/>
          </w:tcPr>
          <w:p w14:paraId="5F343539" w14:textId="0E499589" w:rsidR="00907885" w:rsidRDefault="001069D6" w:rsidP="005C37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55" w:type="dxa"/>
          </w:tcPr>
          <w:p w14:paraId="7DE26718" w14:textId="1B3308BE" w:rsidR="00907885" w:rsidRDefault="001069D6" w:rsidP="005C37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907885" w14:paraId="45C1D3F1" w14:textId="360A282E" w:rsidTr="00907885">
        <w:tc>
          <w:tcPr>
            <w:tcW w:w="3568" w:type="dxa"/>
            <w:shd w:val="clear" w:color="auto" w:fill="D9D9D9" w:themeFill="background1" w:themeFillShade="D9"/>
          </w:tcPr>
          <w:p w14:paraId="3E5A6E51" w14:textId="77777777" w:rsidR="00907885" w:rsidRDefault="00907885" w:rsidP="00D752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7" w:type="dxa"/>
          </w:tcPr>
          <w:p w14:paraId="2E46E0FC" w14:textId="77777777" w:rsidR="00907885" w:rsidRDefault="00907885" w:rsidP="005C37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14:paraId="2DC61196" w14:textId="77777777" w:rsidR="00907885" w:rsidRDefault="00907885" w:rsidP="005C37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0" w:type="dxa"/>
          </w:tcPr>
          <w:p w14:paraId="3ADA5CD4" w14:textId="77777777" w:rsidR="00907885" w:rsidRDefault="00907885" w:rsidP="005C37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5" w:type="dxa"/>
          </w:tcPr>
          <w:p w14:paraId="3EB4334B" w14:textId="77777777" w:rsidR="00907885" w:rsidRDefault="00907885" w:rsidP="005C37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30DB1" w14:paraId="00B1A3D6" w14:textId="77777777" w:rsidTr="00907885">
        <w:tc>
          <w:tcPr>
            <w:tcW w:w="3568" w:type="dxa"/>
            <w:shd w:val="clear" w:color="auto" w:fill="D9D9D9" w:themeFill="background1" w:themeFillShade="D9"/>
          </w:tcPr>
          <w:p w14:paraId="1CC39DFA" w14:textId="4C5FF7C6" w:rsidR="00230DB1" w:rsidRDefault="00230DB1" w:rsidP="00D7524B">
            <w:pPr>
              <w:widowControl w:val="0"/>
              <w:autoSpaceDE w:val="0"/>
              <w:autoSpaceDN w:val="0"/>
              <w:adjustRightInd w:val="0"/>
            </w:pPr>
            <w:r>
              <w:t>Number of cases closed due to request for closure by complainant</w:t>
            </w:r>
          </w:p>
        </w:tc>
        <w:tc>
          <w:tcPr>
            <w:tcW w:w="1557" w:type="dxa"/>
          </w:tcPr>
          <w:p w14:paraId="17903EB0" w14:textId="14769925" w:rsidR="00230DB1" w:rsidRDefault="006E6949" w:rsidP="005C37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440" w:type="dxa"/>
          </w:tcPr>
          <w:p w14:paraId="13C1A8A0" w14:textId="6C76B748" w:rsidR="00230DB1" w:rsidRDefault="006E6949" w:rsidP="005C37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530" w:type="dxa"/>
          </w:tcPr>
          <w:p w14:paraId="076ECEEE" w14:textId="1F1D5FE1" w:rsidR="00230DB1" w:rsidRDefault="001069D6" w:rsidP="005C37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55" w:type="dxa"/>
          </w:tcPr>
          <w:p w14:paraId="41053AE8" w14:textId="0165A1C4" w:rsidR="00230DB1" w:rsidRDefault="006E6949" w:rsidP="005C37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</w:tr>
      <w:tr w:rsidR="00907885" w14:paraId="1C413467" w14:textId="596B403E" w:rsidTr="00907885">
        <w:tc>
          <w:tcPr>
            <w:tcW w:w="3568" w:type="dxa"/>
            <w:shd w:val="clear" w:color="auto" w:fill="D9D9D9" w:themeFill="background1" w:themeFillShade="D9"/>
          </w:tcPr>
          <w:p w14:paraId="37ECAA87" w14:textId="0BD6D0F5" w:rsidR="00907885" w:rsidRDefault="00907885" w:rsidP="00D7524B">
            <w:pPr>
              <w:widowControl w:val="0"/>
              <w:autoSpaceDE w:val="0"/>
              <w:autoSpaceDN w:val="0"/>
              <w:adjustRightInd w:val="0"/>
            </w:pPr>
            <w:r>
              <w:t>Number of cases closed due to lack of jurisdiction</w:t>
            </w:r>
          </w:p>
        </w:tc>
        <w:tc>
          <w:tcPr>
            <w:tcW w:w="1557" w:type="dxa"/>
          </w:tcPr>
          <w:p w14:paraId="0D56DF0D" w14:textId="083B23DD" w:rsidR="00907885" w:rsidRDefault="006E6949" w:rsidP="005C37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40" w:type="dxa"/>
          </w:tcPr>
          <w:p w14:paraId="5E6226F1" w14:textId="04D829FB" w:rsidR="00907885" w:rsidRDefault="006E6949" w:rsidP="005C37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30" w:type="dxa"/>
          </w:tcPr>
          <w:p w14:paraId="056A3CEC" w14:textId="55CCDE5F" w:rsidR="00907885" w:rsidRDefault="001069D6" w:rsidP="005C37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55" w:type="dxa"/>
          </w:tcPr>
          <w:p w14:paraId="1CF5BC6A" w14:textId="2DECF167" w:rsidR="00907885" w:rsidRDefault="006E6949" w:rsidP="005C37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  <w:p w14:paraId="028C6CFC" w14:textId="5D4E3936" w:rsidR="00562ED2" w:rsidRDefault="00562ED2" w:rsidP="005C37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07885" w14:paraId="2B257527" w14:textId="2142F7BD" w:rsidTr="00907885">
        <w:tc>
          <w:tcPr>
            <w:tcW w:w="3568" w:type="dxa"/>
            <w:shd w:val="clear" w:color="auto" w:fill="D9D9D9" w:themeFill="background1" w:themeFillShade="D9"/>
          </w:tcPr>
          <w:p w14:paraId="0C84241F" w14:textId="0DEA00F7" w:rsidR="00907885" w:rsidRDefault="00907885" w:rsidP="0065302A">
            <w:pPr>
              <w:widowControl w:val="0"/>
              <w:autoSpaceDE w:val="0"/>
              <w:autoSpaceDN w:val="0"/>
              <w:adjustRightInd w:val="0"/>
            </w:pPr>
            <w:r>
              <w:t>Number of cases closed due to lack of information</w:t>
            </w:r>
          </w:p>
        </w:tc>
        <w:tc>
          <w:tcPr>
            <w:tcW w:w="1557" w:type="dxa"/>
          </w:tcPr>
          <w:p w14:paraId="446A5E6D" w14:textId="385A80FD" w:rsidR="00907885" w:rsidRDefault="00111705" w:rsidP="006530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40" w:type="dxa"/>
          </w:tcPr>
          <w:p w14:paraId="3AF681A6" w14:textId="709A1122" w:rsidR="00907885" w:rsidRDefault="006E6949" w:rsidP="006530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30" w:type="dxa"/>
          </w:tcPr>
          <w:p w14:paraId="004A186D" w14:textId="3BCB2E29" w:rsidR="00907885" w:rsidRDefault="001069D6" w:rsidP="006530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55" w:type="dxa"/>
          </w:tcPr>
          <w:p w14:paraId="2126E15B" w14:textId="73D24C79" w:rsidR="00907885" w:rsidRDefault="006E6949" w:rsidP="006530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907885" w14:paraId="0C5C65CF" w14:textId="20DA108D" w:rsidTr="00907885">
        <w:tc>
          <w:tcPr>
            <w:tcW w:w="3568" w:type="dxa"/>
            <w:shd w:val="clear" w:color="auto" w:fill="D9D9D9" w:themeFill="background1" w:themeFillShade="D9"/>
          </w:tcPr>
          <w:p w14:paraId="1E87A691" w14:textId="64320CC3" w:rsidR="00907885" w:rsidRDefault="00907885" w:rsidP="0065302A">
            <w:pPr>
              <w:widowControl w:val="0"/>
              <w:autoSpaceDE w:val="0"/>
              <w:autoSpaceDN w:val="0"/>
              <w:adjustRightInd w:val="0"/>
            </w:pPr>
            <w:r>
              <w:t>Number of cases closed due to Informal Resolution agreement prior to investigation</w:t>
            </w:r>
          </w:p>
        </w:tc>
        <w:tc>
          <w:tcPr>
            <w:tcW w:w="1557" w:type="dxa"/>
          </w:tcPr>
          <w:p w14:paraId="550DC571" w14:textId="4DDFD0C7" w:rsidR="00907885" w:rsidRDefault="001069D6" w:rsidP="006530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4550941E" w14:textId="61E8C490" w:rsidR="00907885" w:rsidRDefault="001069D6" w:rsidP="006530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30" w:type="dxa"/>
          </w:tcPr>
          <w:p w14:paraId="47DE0DDB" w14:textId="0A2A43A4" w:rsidR="00907885" w:rsidRDefault="001069D6" w:rsidP="006530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55" w:type="dxa"/>
          </w:tcPr>
          <w:p w14:paraId="68B9B1E2" w14:textId="2D2AE0DA" w:rsidR="00907885" w:rsidRDefault="001069D6" w:rsidP="006530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07885" w14:paraId="0D86ED4C" w14:textId="52796EC8" w:rsidTr="00907885">
        <w:tc>
          <w:tcPr>
            <w:tcW w:w="3568" w:type="dxa"/>
            <w:shd w:val="clear" w:color="auto" w:fill="D9D9D9" w:themeFill="background1" w:themeFillShade="D9"/>
          </w:tcPr>
          <w:p w14:paraId="4FBA5CF0" w14:textId="3FA8BCD0" w:rsidR="00907885" w:rsidRDefault="00907885" w:rsidP="0065302A">
            <w:pPr>
              <w:widowControl w:val="0"/>
              <w:autoSpaceDE w:val="0"/>
              <w:autoSpaceDN w:val="0"/>
              <w:adjustRightInd w:val="0"/>
            </w:pPr>
            <w:r>
              <w:t>Number of investigations conducted under Section 51.252</w:t>
            </w:r>
          </w:p>
        </w:tc>
        <w:tc>
          <w:tcPr>
            <w:tcW w:w="1557" w:type="dxa"/>
          </w:tcPr>
          <w:p w14:paraId="3B8C3981" w14:textId="77F33BE1" w:rsidR="00907885" w:rsidRDefault="006E6949" w:rsidP="006530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458AE986" w14:textId="6302A820" w:rsidR="00907885" w:rsidRDefault="006E631E" w:rsidP="006530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30" w:type="dxa"/>
          </w:tcPr>
          <w:p w14:paraId="3DFA8A12" w14:textId="77B419DE" w:rsidR="00907885" w:rsidRDefault="001069D6" w:rsidP="006530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55" w:type="dxa"/>
          </w:tcPr>
          <w:p w14:paraId="39F32DCD" w14:textId="1A45FE5A" w:rsidR="00907885" w:rsidRDefault="006E631E" w:rsidP="006530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14:paraId="179BDAC8" w14:textId="2E597BE8" w:rsidR="00065B6D" w:rsidRDefault="00065B6D" w:rsidP="006530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07885" w14:paraId="6A0C8EBA" w14:textId="5A44CF8E" w:rsidTr="00907885">
        <w:tc>
          <w:tcPr>
            <w:tcW w:w="3568" w:type="dxa"/>
            <w:shd w:val="clear" w:color="auto" w:fill="D9D9D9" w:themeFill="background1" w:themeFillShade="D9"/>
          </w:tcPr>
          <w:p w14:paraId="6517FC9A" w14:textId="77777777" w:rsidR="00907885" w:rsidRDefault="00907885" w:rsidP="006530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7" w:type="dxa"/>
          </w:tcPr>
          <w:p w14:paraId="644299A1" w14:textId="77777777" w:rsidR="00907885" w:rsidRDefault="00907885" w:rsidP="006530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14:paraId="322EB5C0" w14:textId="77777777" w:rsidR="00907885" w:rsidRDefault="00907885" w:rsidP="006530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0" w:type="dxa"/>
          </w:tcPr>
          <w:p w14:paraId="451788B1" w14:textId="77777777" w:rsidR="00907885" w:rsidRDefault="00907885" w:rsidP="006530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5" w:type="dxa"/>
          </w:tcPr>
          <w:p w14:paraId="1CDB5D6B" w14:textId="77777777" w:rsidR="00907885" w:rsidRDefault="00907885" w:rsidP="006530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07885" w14:paraId="303F26B2" w14:textId="7E07A20F" w:rsidTr="00907885">
        <w:tc>
          <w:tcPr>
            <w:tcW w:w="3568" w:type="dxa"/>
            <w:shd w:val="clear" w:color="auto" w:fill="D9D9D9" w:themeFill="background1" w:themeFillShade="D9"/>
          </w:tcPr>
          <w:p w14:paraId="5050AA58" w14:textId="784DE7D7" w:rsidR="00907885" w:rsidRDefault="00907885" w:rsidP="000C763B">
            <w:pPr>
              <w:widowControl w:val="0"/>
              <w:autoSpaceDE w:val="0"/>
              <w:autoSpaceDN w:val="0"/>
              <w:adjustRightInd w:val="0"/>
            </w:pPr>
            <w:r>
              <w:t>Disposition</w:t>
            </w:r>
            <w:r>
              <w:rPr>
                <w:rStyle w:val="FootnoteReference"/>
              </w:rPr>
              <w:footnoteReference w:id="3"/>
            </w:r>
            <w:r>
              <w:t xml:space="preserve"> of any disciplinary </w:t>
            </w:r>
          </w:p>
          <w:p w14:paraId="41A3DBFE" w14:textId="77777777" w:rsidR="00907885" w:rsidRDefault="00907885" w:rsidP="000C763B">
            <w:pPr>
              <w:widowControl w:val="0"/>
              <w:autoSpaceDE w:val="0"/>
              <w:autoSpaceDN w:val="0"/>
              <w:adjustRightInd w:val="0"/>
            </w:pPr>
            <w:r>
              <w:t xml:space="preserve">processes for reports under </w:t>
            </w:r>
          </w:p>
          <w:p w14:paraId="7ECC5C38" w14:textId="463B79F0" w:rsidR="00907885" w:rsidRDefault="00907885" w:rsidP="000C763B">
            <w:pPr>
              <w:widowControl w:val="0"/>
              <w:autoSpaceDE w:val="0"/>
              <w:autoSpaceDN w:val="0"/>
              <w:adjustRightInd w:val="0"/>
            </w:pPr>
            <w:r>
              <w:t>Section 51.252:</w:t>
            </w:r>
          </w:p>
        </w:tc>
        <w:tc>
          <w:tcPr>
            <w:tcW w:w="1557" w:type="dxa"/>
          </w:tcPr>
          <w:p w14:paraId="00FACAB5" w14:textId="18B6E579" w:rsidR="00907885" w:rsidRDefault="00907885" w:rsidP="006530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14:paraId="225F4250" w14:textId="3449142B" w:rsidR="00907885" w:rsidRDefault="00907885" w:rsidP="006530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0" w:type="dxa"/>
          </w:tcPr>
          <w:p w14:paraId="29DAAF4B" w14:textId="165548F3" w:rsidR="00907885" w:rsidRDefault="00907885" w:rsidP="006530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5" w:type="dxa"/>
          </w:tcPr>
          <w:p w14:paraId="05E10AF8" w14:textId="7497190B" w:rsidR="00907885" w:rsidRDefault="00907885" w:rsidP="006530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07885" w14:paraId="4E84D291" w14:textId="301B3603" w:rsidTr="00907885">
        <w:tc>
          <w:tcPr>
            <w:tcW w:w="3568" w:type="dxa"/>
            <w:shd w:val="clear" w:color="auto" w:fill="D9D9D9" w:themeFill="background1" w:themeFillShade="D9"/>
          </w:tcPr>
          <w:p w14:paraId="01BC4333" w14:textId="6F2AAE6C" w:rsidR="00907885" w:rsidRDefault="00907885" w:rsidP="00006F9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Concluded, No Finding of Policy Violation</w:t>
            </w:r>
          </w:p>
        </w:tc>
        <w:tc>
          <w:tcPr>
            <w:tcW w:w="1557" w:type="dxa"/>
          </w:tcPr>
          <w:p w14:paraId="2E6AB3EA" w14:textId="4E618EAB" w:rsidR="00907885" w:rsidRDefault="001069D6" w:rsidP="006530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4DBEE055" w14:textId="6CFF3A3E" w:rsidR="00907885" w:rsidRDefault="006E631E" w:rsidP="006530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505DE80E" w14:textId="2EF51489" w:rsidR="00907885" w:rsidRDefault="001069D6" w:rsidP="006530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55" w:type="dxa"/>
          </w:tcPr>
          <w:p w14:paraId="1EF3DCEB" w14:textId="090CA1FA" w:rsidR="00907885" w:rsidRDefault="006E631E" w:rsidP="006530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907885" w14:paraId="5B0D3CAE" w14:textId="61E62C54" w:rsidTr="00907885">
        <w:tc>
          <w:tcPr>
            <w:tcW w:w="3568" w:type="dxa"/>
            <w:shd w:val="clear" w:color="auto" w:fill="D9D9D9" w:themeFill="background1" w:themeFillShade="D9"/>
          </w:tcPr>
          <w:p w14:paraId="588EE080" w14:textId="16FA0FA0" w:rsidR="00907885" w:rsidRDefault="00907885" w:rsidP="00006F9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Concluded, with Employee Disciplinary Sanction</w:t>
            </w:r>
          </w:p>
        </w:tc>
        <w:tc>
          <w:tcPr>
            <w:tcW w:w="1557" w:type="dxa"/>
          </w:tcPr>
          <w:p w14:paraId="7C476C28" w14:textId="4C69F7CF" w:rsidR="00907885" w:rsidRDefault="001069D6" w:rsidP="006530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53B67A93" w14:textId="01ABD78A" w:rsidR="00907885" w:rsidRDefault="001069D6" w:rsidP="006530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30" w:type="dxa"/>
          </w:tcPr>
          <w:p w14:paraId="6E4383D0" w14:textId="028A9041" w:rsidR="00907885" w:rsidRDefault="001069D6" w:rsidP="006530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55" w:type="dxa"/>
          </w:tcPr>
          <w:p w14:paraId="563F8B00" w14:textId="0166290D" w:rsidR="00907885" w:rsidRDefault="001069D6" w:rsidP="006530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07885" w14:paraId="704CD06F" w14:textId="69FE944F" w:rsidTr="00907885">
        <w:tc>
          <w:tcPr>
            <w:tcW w:w="3568" w:type="dxa"/>
            <w:shd w:val="clear" w:color="auto" w:fill="D9D9D9" w:themeFill="background1" w:themeFillShade="D9"/>
          </w:tcPr>
          <w:p w14:paraId="25DDCCAF" w14:textId="784FF45F" w:rsidR="00907885" w:rsidRDefault="00907885" w:rsidP="00006F9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 xml:space="preserve">Concluded, with Student Disciplinary Sanction </w:t>
            </w:r>
          </w:p>
        </w:tc>
        <w:tc>
          <w:tcPr>
            <w:tcW w:w="1557" w:type="dxa"/>
          </w:tcPr>
          <w:p w14:paraId="49021783" w14:textId="39F304C7" w:rsidR="00907885" w:rsidRDefault="001069D6" w:rsidP="006530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78A1C76C" w14:textId="3D5C5A4B" w:rsidR="00907885" w:rsidRDefault="006E6949" w:rsidP="006530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30" w:type="dxa"/>
          </w:tcPr>
          <w:p w14:paraId="3D1A65E6" w14:textId="6A44675C" w:rsidR="00907885" w:rsidRDefault="001069D6" w:rsidP="006530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55" w:type="dxa"/>
          </w:tcPr>
          <w:p w14:paraId="668C77E8" w14:textId="08D01B6D" w:rsidR="00907885" w:rsidRDefault="006E6949" w:rsidP="006530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907885" w14:paraId="3F386812" w14:textId="2C1F6B6C" w:rsidTr="00907885">
        <w:tc>
          <w:tcPr>
            <w:tcW w:w="3568" w:type="dxa"/>
            <w:shd w:val="clear" w:color="auto" w:fill="D9D9D9" w:themeFill="background1" w:themeFillShade="D9"/>
          </w:tcPr>
          <w:p w14:paraId="0C4A3183" w14:textId="1D564291" w:rsidR="00907885" w:rsidRDefault="00907885" w:rsidP="00006F9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 xml:space="preserve">Concluded, via Informal Resolution </w:t>
            </w:r>
            <w:r w:rsidR="00393468">
              <w:t>Agreement</w:t>
            </w:r>
          </w:p>
        </w:tc>
        <w:tc>
          <w:tcPr>
            <w:tcW w:w="1557" w:type="dxa"/>
          </w:tcPr>
          <w:p w14:paraId="155A2B36" w14:textId="469F5E31" w:rsidR="00907885" w:rsidRDefault="001069D6" w:rsidP="006530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0D4B64A6" w14:textId="2C53D6C1" w:rsidR="00907885" w:rsidRDefault="001069D6" w:rsidP="006530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30" w:type="dxa"/>
          </w:tcPr>
          <w:p w14:paraId="236C14DE" w14:textId="07958E87" w:rsidR="00907885" w:rsidRDefault="001069D6" w:rsidP="006530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55" w:type="dxa"/>
          </w:tcPr>
          <w:p w14:paraId="4C68D4F7" w14:textId="27690E1D" w:rsidR="00907885" w:rsidRDefault="001069D6" w:rsidP="006530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07885" w14:paraId="5DE598BE" w14:textId="2C2DB86B" w:rsidTr="00907885">
        <w:tc>
          <w:tcPr>
            <w:tcW w:w="3568" w:type="dxa"/>
            <w:shd w:val="clear" w:color="auto" w:fill="D9D9D9" w:themeFill="background1" w:themeFillShade="D9"/>
          </w:tcPr>
          <w:p w14:paraId="71FD4FE1" w14:textId="7CBF28CC" w:rsidR="00907885" w:rsidRDefault="00907885" w:rsidP="00006F9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Pending</w:t>
            </w:r>
          </w:p>
        </w:tc>
        <w:tc>
          <w:tcPr>
            <w:tcW w:w="1557" w:type="dxa"/>
          </w:tcPr>
          <w:p w14:paraId="1DEE66AC" w14:textId="277C2B3F" w:rsidR="00907885" w:rsidRDefault="006E6949" w:rsidP="006530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2FF4DBA7" w14:textId="2F3513CB" w:rsidR="00907885" w:rsidRDefault="00065B6D" w:rsidP="006530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30" w:type="dxa"/>
          </w:tcPr>
          <w:p w14:paraId="27AF779E" w14:textId="52D7C7A5" w:rsidR="00907885" w:rsidRDefault="00065B6D" w:rsidP="006530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55" w:type="dxa"/>
          </w:tcPr>
          <w:p w14:paraId="7108A3EE" w14:textId="781DE462" w:rsidR="00907885" w:rsidRDefault="006E6949" w:rsidP="006530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07885" w14:paraId="38A3A830" w14:textId="5E9F9354" w:rsidTr="00907885">
        <w:tc>
          <w:tcPr>
            <w:tcW w:w="3568" w:type="dxa"/>
            <w:shd w:val="clear" w:color="auto" w:fill="D9D9D9" w:themeFill="background1" w:themeFillShade="D9"/>
          </w:tcPr>
          <w:p w14:paraId="342402AC" w14:textId="541DCCC8" w:rsidR="00907885" w:rsidRPr="00006F91" w:rsidRDefault="00907885" w:rsidP="0094592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/>
              </w:rPr>
            </w:pPr>
            <w:r w:rsidRPr="00006F91">
              <w:rPr>
                <w:b/>
              </w:rPr>
              <w:t>SUBTOTAL</w:t>
            </w:r>
          </w:p>
        </w:tc>
        <w:tc>
          <w:tcPr>
            <w:tcW w:w="1557" w:type="dxa"/>
          </w:tcPr>
          <w:p w14:paraId="64876111" w14:textId="447A5407" w:rsidR="00907885" w:rsidRDefault="006E6949" w:rsidP="006530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3101AB47" w14:textId="7B8B7DD2" w:rsidR="00907885" w:rsidRDefault="006E631E" w:rsidP="006530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30" w:type="dxa"/>
          </w:tcPr>
          <w:p w14:paraId="7EF0F542" w14:textId="352CC828" w:rsidR="00907885" w:rsidRDefault="00065B6D" w:rsidP="006530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55" w:type="dxa"/>
          </w:tcPr>
          <w:p w14:paraId="2AE3EAD6" w14:textId="5297D3F0" w:rsidR="00907885" w:rsidRDefault="006E631E" w:rsidP="006530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07885" w14:paraId="389828D2" w14:textId="4A61FD19" w:rsidTr="00907885">
        <w:tc>
          <w:tcPr>
            <w:tcW w:w="3568" w:type="dxa"/>
            <w:shd w:val="clear" w:color="auto" w:fill="D9D9D9" w:themeFill="background1" w:themeFillShade="D9"/>
          </w:tcPr>
          <w:p w14:paraId="7977F933" w14:textId="77777777" w:rsidR="00907885" w:rsidRDefault="00907885" w:rsidP="0065302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7" w:type="dxa"/>
          </w:tcPr>
          <w:p w14:paraId="0AA00979" w14:textId="77777777" w:rsidR="00907885" w:rsidRDefault="00907885" w:rsidP="006530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14:paraId="24960E9A" w14:textId="77777777" w:rsidR="00907885" w:rsidRDefault="00907885" w:rsidP="006530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0" w:type="dxa"/>
          </w:tcPr>
          <w:p w14:paraId="560F0FE5" w14:textId="77777777" w:rsidR="00907885" w:rsidRDefault="00907885" w:rsidP="006530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5" w:type="dxa"/>
          </w:tcPr>
          <w:p w14:paraId="2C3778EE" w14:textId="77777777" w:rsidR="00907885" w:rsidRDefault="00907885" w:rsidP="006530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07885" w14:paraId="3C859EB3" w14:textId="2A818CE1" w:rsidTr="00907885">
        <w:tc>
          <w:tcPr>
            <w:tcW w:w="3568" w:type="dxa"/>
            <w:shd w:val="clear" w:color="auto" w:fill="D9D9D9" w:themeFill="background1" w:themeFillShade="D9"/>
          </w:tcPr>
          <w:p w14:paraId="4062CD2A" w14:textId="53BA42E9" w:rsidR="00907885" w:rsidRDefault="00907885" w:rsidP="00907885">
            <w:pPr>
              <w:widowControl w:val="0"/>
              <w:autoSpaceDE w:val="0"/>
              <w:autoSpaceDN w:val="0"/>
              <w:adjustRightInd w:val="0"/>
            </w:pPr>
            <w:r>
              <w:t>Number of reports under Section 51.252 for which the institution determined not to initiate a disciplinary process</w:t>
            </w:r>
          </w:p>
        </w:tc>
        <w:tc>
          <w:tcPr>
            <w:tcW w:w="1557" w:type="dxa"/>
          </w:tcPr>
          <w:p w14:paraId="2DF0DDD5" w14:textId="77777777" w:rsidR="00907885" w:rsidRDefault="00907885" w:rsidP="0065302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965AC09" w14:textId="5E9BBA0F" w:rsidR="00907885" w:rsidRDefault="006E631E" w:rsidP="006530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440" w:type="dxa"/>
          </w:tcPr>
          <w:p w14:paraId="2EA224DC" w14:textId="77777777" w:rsidR="00555077" w:rsidRDefault="00555077" w:rsidP="0065302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A7E5842" w14:textId="666F89ED" w:rsidR="00907885" w:rsidRDefault="00111705" w:rsidP="006530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  <w:p w14:paraId="2B4A7D4F" w14:textId="11530F4B" w:rsidR="00555077" w:rsidRDefault="00555077" w:rsidP="006530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0" w:type="dxa"/>
          </w:tcPr>
          <w:p w14:paraId="43BEE683" w14:textId="77777777" w:rsidR="00907885" w:rsidRDefault="00907885" w:rsidP="0065302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73C3229" w14:textId="71227046" w:rsidR="00907885" w:rsidRDefault="00555077" w:rsidP="006530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55" w:type="dxa"/>
          </w:tcPr>
          <w:p w14:paraId="3F10855E" w14:textId="77777777" w:rsidR="00907885" w:rsidRDefault="00907885" w:rsidP="0065302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7066017" w14:textId="4EE6C20F" w:rsidR="00907885" w:rsidRDefault="006E631E" w:rsidP="006530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</w:tr>
      <w:tr w:rsidR="00B76444" w14:paraId="27BA94EA" w14:textId="77777777" w:rsidTr="00907885">
        <w:tc>
          <w:tcPr>
            <w:tcW w:w="3568" w:type="dxa"/>
            <w:shd w:val="clear" w:color="auto" w:fill="D9D9D9" w:themeFill="background1" w:themeFillShade="D9"/>
          </w:tcPr>
          <w:p w14:paraId="5E3643C7" w14:textId="692B7C17" w:rsidR="00B76444" w:rsidRDefault="00B76444" w:rsidP="00907885">
            <w:pPr>
              <w:widowControl w:val="0"/>
              <w:autoSpaceDE w:val="0"/>
              <w:autoSpaceDN w:val="0"/>
              <w:adjustRightInd w:val="0"/>
            </w:pPr>
            <w:r>
              <w:t>Number of reports for which allegations were made and processed against a third-party</w:t>
            </w:r>
          </w:p>
        </w:tc>
        <w:tc>
          <w:tcPr>
            <w:tcW w:w="1557" w:type="dxa"/>
          </w:tcPr>
          <w:p w14:paraId="76A60D84" w14:textId="77777777" w:rsidR="00B76444" w:rsidRDefault="00B76444" w:rsidP="0065302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2D31C9B" w14:textId="4CBDA698" w:rsidR="00B76444" w:rsidRDefault="00555077" w:rsidP="006530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26E6DD1B" w14:textId="77777777" w:rsidR="00B76444" w:rsidRDefault="00B76444" w:rsidP="0065302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7FD550D" w14:textId="60EB7225" w:rsidR="00B76444" w:rsidRDefault="00555077" w:rsidP="00B764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30" w:type="dxa"/>
          </w:tcPr>
          <w:p w14:paraId="7AFF21A5" w14:textId="77777777" w:rsidR="00B76444" w:rsidRDefault="00B76444" w:rsidP="0065302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CB4BF65" w14:textId="261E2B14" w:rsidR="00B76444" w:rsidRDefault="00555077" w:rsidP="006530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55" w:type="dxa"/>
          </w:tcPr>
          <w:p w14:paraId="6B872B11" w14:textId="77777777" w:rsidR="00B76444" w:rsidRDefault="00B76444" w:rsidP="0065302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D1F6035" w14:textId="11BC9DE4" w:rsidR="00B76444" w:rsidRDefault="00555077" w:rsidP="006530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14:paraId="4F9CDB1E" w14:textId="77777777" w:rsidR="00230DB1" w:rsidRDefault="00230DB1" w:rsidP="00D7524B">
      <w:pPr>
        <w:widowControl w:val="0"/>
        <w:autoSpaceDE w:val="0"/>
        <w:autoSpaceDN w:val="0"/>
        <w:adjustRightInd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3235"/>
      </w:tblGrid>
      <w:tr w:rsidR="00006F91" w14:paraId="62A6DCE4" w14:textId="77777777" w:rsidTr="00006F91">
        <w:tc>
          <w:tcPr>
            <w:tcW w:w="9350" w:type="dxa"/>
            <w:gridSpan w:val="2"/>
            <w:shd w:val="clear" w:color="auto" w:fill="D9D9D9" w:themeFill="background1" w:themeFillShade="D9"/>
          </w:tcPr>
          <w:p w14:paraId="31714D15" w14:textId="78211628" w:rsidR="00006F91" w:rsidRPr="00006F91" w:rsidRDefault="00006F91" w:rsidP="00006F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lightGray"/>
              </w:rPr>
            </w:pPr>
            <w:r w:rsidRPr="00006F91">
              <w:rPr>
                <w:b/>
                <w:highlight w:val="lightGray"/>
              </w:rPr>
              <w:t>Texas Education Code, Section 51.255</w:t>
            </w:r>
          </w:p>
        </w:tc>
      </w:tr>
      <w:tr w:rsidR="00006F91" w14:paraId="62C28B53" w14:textId="77777777" w:rsidTr="00006F91">
        <w:tc>
          <w:tcPr>
            <w:tcW w:w="6115" w:type="dxa"/>
            <w:shd w:val="clear" w:color="auto" w:fill="D9D9D9" w:themeFill="background1" w:themeFillShade="D9"/>
          </w:tcPr>
          <w:p w14:paraId="367514DC" w14:textId="77777777" w:rsidR="00006F91" w:rsidRPr="00006F91" w:rsidRDefault="00006F91" w:rsidP="00D7524B">
            <w:pPr>
              <w:widowControl w:val="0"/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3235" w:type="dxa"/>
          </w:tcPr>
          <w:p w14:paraId="44AE0354" w14:textId="67F3C6C6" w:rsidR="00006F91" w:rsidRPr="00006F91" w:rsidRDefault="00006F91" w:rsidP="00006F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6F91">
              <w:rPr>
                <w:b/>
              </w:rPr>
              <w:t>202</w:t>
            </w:r>
            <w:r w:rsidR="00393468">
              <w:rPr>
                <w:b/>
              </w:rPr>
              <w:t>2</w:t>
            </w:r>
            <w:r w:rsidRPr="00006F91">
              <w:rPr>
                <w:b/>
              </w:rPr>
              <w:t>-202</w:t>
            </w:r>
            <w:r w:rsidR="00393468">
              <w:rPr>
                <w:b/>
              </w:rPr>
              <w:t>3</w:t>
            </w:r>
          </w:p>
        </w:tc>
      </w:tr>
      <w:tr w:rsidR="00006F91" w14:paraId="40869320" w14:textId="77777777" w:rsidTr="00006F91">
        <w:tc>
          <w:tcPr>
            <w:tcW w:w="6115" w:type="dxa"/>
            <w:shd w:val="clear" w:color="auto" w:fill="D9D9D9" w:themeFill="background1" w:themeFillShade="D9"/>
          </w:tcPr>
          <w:p w14:paraId="5C67D8E0" w14:textId="7BB33D8F" w:rsidR="00006F91" w:rsidRPr="00006F91" w:rsidRDefault="00006F91" w:rsidP="00D7524B">
            <w:pPr>
              <w:widowControl w:val="0"/>
              <w:autoSpaceDE w:val="0"/>
              <w:autoSpaceDN w:val="0"/>
              <w:adjustRightInd w:val="0"/>
              <w:rPr>
                <w:b/>
                <w:highlight w:val="lightGray"/>
              </w:rPr>
            </w:pPr>
            <w:r w:rsidRPr="00006F91">
              <w:rPr>
                <w:b/>
              </w:rPr>
              <w:t>Number of reports received that include allegations of an employee’s failure to report or who submits a false report to the institution under Section 51.255(a)</w:t>
            </w:r>
          </w:p>
        </w:tc>
        <w:tc>
          <w:tcPr>
            <w:tcW w:w="3235" w:type="dxa"/>
          </w:tcPr>
          <w:p w14:paraId="042FBC84" w14:textId="77777777" w:rsidR="00006F91" w:rsidRDefault="00006F91" w:rsidP="00006F9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6F7EE88" w14:textId="0BF416EC" w:rsidR="0094592D" w:rsidRDefault="00065B6D" w:rsidP="00006F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06F91" w14:paraId="305EF852" w14:textId="77777777" w:rsidTr="00006F91">
        <w:tc>
          <w:tcPr>
            <w:tcW w:w="6115" w:type="dxa"/>
            <w:shd w:val="clear" w:color="auto" w:fill="D9D9D9" w:themeFill="background1" w:themeFillShade="D9"/>
          </w:tcPr>
          <w:p w14:paraId="05C7038D" w14:textId="4B6E4CED" w:rsidR="00006F91" w:rsidRPr="0094592D" w:rsidRDefault="0094592D" w:rsidP="00D7524B">
            <w:pPr>
              <w:widowControl w:val="0"/>
              <w:autoSpaceDE w:val="0"/>
              <w:autoSpaceDN w:val="0"/>
              <w:adjustRightInd w:val="0"/>
              <w:rPr>
                <w:b/>
                <w:highlight w:val="lightGray"/>
              </w:rPr>
            </w:pPr>
            <w:r w:rsidRPr="0094592D">
              <w:rPr>
                <w:b/>
              </w:rPr>
              <w:t>Any disciplinary action taken, regarding failure to report or false reports to the institution under Section 51.255(c):</w:t>
            </w:r>
          </w:p>
        </w:tc>
        <w:tc>
          <w:tcPr>
            <w:tcW w:w="3235" w:type="dxa"/>
          </w:tcPr>
          <w:p w14:paraId="3EDFF24B" w14:textId="77777777" w:rsidR="00006F91" w:rsidRDefault="00006F91" w:rsidP="00006F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06F91" w14:paraId="6C22C94E" w14:textId="77777777" w:rsidTr="00006F91">
        <w:tc>
          <w:tcPr>
            <w:tcW w:w="6115" w:type="dxa"/>
            <w:shd w:val="clear" w:color="auto" w:fill="D9D9D9" w:themeFill="background1" w:themeFillShade="D9"/>
          </w:tcPr>
          <w:p w14:paraId="466929CC" w14:textId="2D1173B7" w:rsidR="00006F91" w:rsidRPr="0094592D" w:rsidRDefault="0094592D" w:rsidP="0094592D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highlight w:val="lightGray"/>
              </w:rPr>
            </w:pPr>
            <w:r>
              <w:rPr>
                <w:highlight w:val="lightGray"/>
              </w:rPr>
              <w:t>Employee Termination</w:t>
            </w:r>
          </w:p>
        </w:tc>
        <w:tc>
          <w:tcPr>
            <w:tcW w:w="3235" w:type="dxa"/>
          </w:tcPr>
          <w:p w14:paraId="4B753FF0" w14:textId="0C9DEE6A" w:rsidR="00006F91" w:rsidRDefault="0027524D" w:rsidP="00006F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06F91" w14:paraId="6DF3F110" w14:textId="77777777" w:rsidTr="00006F91">
        <w:tc>
          <w:tcPr>
            <w:tcW w:w="6115" w:type="dxa"/>
            <w:shd w:val="clear" w:color="auto" w:fill="D9D9D9" w:themeFill="background1" w:themeFillShade="D9"/>
          </w:tcPr>
          <w:p w14:paraId="0D919D7D" w14:textId="2DEA1AA4" w:rsidR="00006F91" w:rsidRPr="0094592D" w:rsidRDefault="0094592D" w:rsidP="0094592D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highlight w:val="lightGray"/>
              </w:rPr>
            </w:pPr>
            <w:r>
              <w:rPr>
                <w:highlight w:val="lightGray"/>
              </w:rPr>
              <w:t>Institutional intent to termination, in lieu of employee resignation</w:t>
            </w:r>
          </w:p>
        </w:tc>
        <w:tc>
          <w:tcPr>
            <w:tcW w:w="3235" w:type="dxa"/>
          </w:tcPr>
          <w:p w14:paraId="26538A78" w14:textId="3E96BE43" w:rsidR="00006F91" w:rsidRDefault="0027524D" w:rsidP="00006F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4592D" w14:paraId="67BB2C57" w14:textId="77777777" w:rsidTr="00006F91">
        <w:tc>
          <w:tcPr>
            <w:tcW w:w="6115" w:type="dxa"/>
            <w:shd w:val="clear" w:color="auto" w:fill="D9D9D9" w:themeFill="background1" w:themeFillShade="D9"/>
          </w:tcPr>
          <w:p w14:paraId="6CEE1094" w14:textId="074DD988" w:rsidR="0094592D" w:rsidRPr="0094592D" w:rsidRDefault="0094592D" w:rsidP="0094592D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highlight w:val="lightGray"/>
              </w:rPr>
            </w:pPr>
            <w:r>
              <w:rPr>
                <w:highlight w:val="lightGray"/>
              </w:rPr>
              <w:t>Other disciplinary actions</w:t>
            </w:r>
          </w:p>
        </w:tc>
        <w:tc>
          <w:tcPr>
            <w:tcW w:w="3235" w:type="dxa"/>
          </w:tcPr>
          <w:p w14:paraId="03FEF9A0" w14:textId="05E3BA9A" w:rsidR="0094592D" w:rsidRDefault="0027524D" w:rsidP="00006F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06F91" w14:paraId="21690768" w14:textId="77777777" w:rsidTr="00006F91">
        <w:tc>
          <w:tcPr>
            <w:tcW w:w="6115" w:type="dxa"/>
            <w:shd w:val="clear" w:color="auto" w:fill="D9D9D9" w:themeFill="background1" w:themeFillShade="D9"/>
          </w:tcPr>
          <w:p w14:paraId="4273D9FD" w14:textId="762BE6D8" w:rsidR="00006F91" w:rsidRPr="0094592D" w:rsidRDefault="0094592D" w:rsidP="0094592D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highlight w:val="lightGray"/>
              </w:rPr>
            </w:pPr>
            <w:r>
              <w:rPr>
                <w:highlight w:val="lightGray"/>
              </w:rPr>
              <w:t>Pending</w:t>
            </w:r>
          </w:p>
        </w:tc>
        <w:tc>
          <w:tcPr>
            <w:tcW w:w="3235" w:type="dxa"/>
          </w:tcPr>
          <w:p w14:paraId="717E9D64" w14:textId="7E4CE9AD" w:rsidR="00006F91" w:rsidRDefault="0027524D" w:rsidP="00006F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14:paraId="7E922D38" w14:textId="77777777" w:rsidR="005507C7" w:rsidRDefault="005507C7" w:rsidP="00D7524B">
      <w:pPr>
        <w:widowControl w:val="0"/>
        <w:autoSpaceDE w:val="0"/>
        <w:autoSpaceDN w:val="0"/>
        <w:adjustRightInd w:val="0"/>
      </w:pPr>
    </w:p>
    <w:p w14:paraId="1D185F83" w14:textId="62B7361F" w:rsidR="00D7524B" w:rsidRDefault="00D7524B" w:rsidP="00366B99">
      <w:pPr>
        <w:widowControl w:val="0"/>
        <w:autoSpaceDE w:val="0"/>
        <w:autoSpaceDN w:val="0"/>
        <w:adjustRightInd w:val="0"/>
      </w:pPr>
    </w:p>
    <w:sectPr w:rsidR="00D7524B" w:rsidSect="00606F55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85F86" w14:textId="77777777" w:rsidR="00F83096" w:rsidRDefault="00F83096" w:rsidP="00606F55">
      <w:r>
        <w:separator/>
      </w:r>
    </w:p>
  </w:endnote>
  <w:endnote w:type="continuationSeparator" w:id="0">
    <w:p w14:paraId="1D185F87" w14:textId="77777777" w:rsidR="00F83096" w:rsidRDefault="00F83096" w:rsidP="0060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tone Serif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5F8F" w14:textId="77777777" w:rsidR="008B4EFF" w:rsidRDefault="008B4EFF" w:rsidP="008B4EFF">
    <w:pPr>
      <w:keepLines/>
      <w:tabs>
        <w:tab w:val="left" w:pos="1920"/>
        <w:tab w:val="center" w:pos="4680"/>
      </w:tabs>
      <w:autoSpaceDE w:val="0"/>
      <w:autoSpaceDN w:val="0"/>
      <w:adjustRightInd w:val="0"/>
      <w:spacing w:line="288" w:lineRule="auto"/>
      <w:textAlignment w:val="baseline"/>
      <w:rPr>
        <w:rFonts w:ascii="Stone Serif" w:hAnsi="Stone Serif" w:cs="Stone Serif"/>
        <w:color w:val="000000"/>
        <w:spacing w:val="8"/>
        <w:sz w:val="16"/>
        <w:szCs w:val="16"/>
      </w:rPr>
    </w:pPr>
    <w:r>
      <w:rPr>
        <w:rFonts w:ascii="Stone Serif" w:hAnsi="Stone Serif" w:cs="Stone Serif"/>
        <w:noProof/>
        <w:color w:val="000000"/>
        <w:spacing w:val="8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185F97" wp14:editId="1D185F98">
              <wp:simplePos x="0" y="0"/>
              <wp:positionH relativeFrom="column">
                <wp:posOffset>800100</wp:posOffset>
              </wp:positionH>
              <wp:positionV relativeFrom="paragraph">
                <wp:posOffset>61595</wp:posOffset>
              </wp:positionV>
              <wp:extent cx="4343400" cy="0"/>
              <wp:effectExtent l="9525" t="5080" r="9525" b="1397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952282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4.85pt" to="4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" strokecolor="#420000"/>
          </w:pict>
        </mc:Fallback>
      </mc:AlternateContent>
    </w:r>
    <w:r>
      <w:rPr>
        <w:rFonts w:ascii="Stone Serif" w:hAnsi="Stone Serif" w:cs="Stone Serif"/>
        <w:color w:val="000000"/>
        <w:spacing w:val="8"/>
        <w:sz w:val="16"/>
        <w:szCs w:val="16"/>
      </w:rPr>
      <w:tab/>
    </w:r>
  </w:p>
  <w:p w14:paraId="1D185F90" w14:textId="77777777" w:rsidR="00606F55" w:rsidRPr="00FB6BFD" w:rsidRDefault="00606F55" w:rsidP="00606F55">
    <w:pPr>
      <w:keepLines/>
      <w:tabs>
        <w:tab w:val="left" w:pos="1920"/>
        <w:tab w:val="center" w:pos="4680"/>
      </w:tabs>
      <w:autoSpaceDE w:val="0"/>
      <w:autoSpaceDN w:val="0"/>
      <w:adjustRightInd w:val="0"/>
      <w:spacing w:line="288" w:lineRule="auto"/>
      <w:jc w:val="center"/>
      <w:textAlignment w:val="baseline"/>
      <w:rPr>
        <w:color w:val="000000"/>
        <w:spacing w:val="8"/>
        <w:sz w:val="16"/>
        <w:szCs w:val="16"/>
      </w:rPr>
    </w:pPr>
    <w:r w:rsidRPr="00FB6BFD">
      <w:rPr>
        <w:color w:val="000000"/>
        <w:spacing w:val="8"/>
        <w:sz w:val="16"/>
        <w:szCs w:val="16"/>
      </w:rPr>
      <w:t>301 Tarrow Street</w:t>
    </w:r>
    <w:r>
      <w:rPr>
        <w:color w:val="000000"/>
        <w:spacing w:val="8"/>
        <w:sz w:val="16"/>
        <w:szCs w:val="16"/>
      </w:rPr>
      <w:t xml:space="preserve">, </w:t>
    </w:r>
    <w:r w:rsidR="00453E18">
      <w:rPr>
        <w:color w:val="000000"/>
        <w:spacing w:val="8"/>
        <w:sz w:val="16"/>
        <w:szCs w:val="16"/>
      </w:rPr>
      <w:t>4</w:t>
    </w:r>
    <w:r>
      <w:rPr>
        <w:color w:val="000000"/>
        <w:spacing w:val="8"/>
        <w:sz w:val="16"/>
        <w:szCs w:val="16"/>
        <w:vertAlign w:val="superscript"/>
      </w:rPr>
      <w:t xml:space="preserve">th </w:t>
    </w:r>
    <w:r>
      <w:rPr>
        <w:color w:val="000000"/>
        <w:spacing w:val="8"/>
        <w:sz w:val="16"/>
        <w:szCs w:val="16"/>
      </w:rPr>
      <w:t xml:space="preserve">Floor </w:t>
    </w:r>
    <w:r w:rsidRPr="00FB6BFD">
      <w:rPr>
        <w:color w:val="000000"/>
        <w:spacing w:val="6"/>
        <w:position w:val="2"/>
        <w:sz w:val="12"/>
        <w:szCs w:val="12"/>
      </w:rPr>
      <w:t>•</w:t>
    </w:r>
    <w:r w:rsidRPr="00FB6BFD">
      <w:rPr>
        <w:color w:val="000000"/>
        <w:spacing w:val="8"/>
        <w:sz w:val="16"/>
        <w:szCs w:val="16"/>
      </w:rPr>
      <w:t xml:space="preserve"> College Station, Texas 77840-7896</w:t>
    </w:r>
  </w:p>
  <w:p w14:paraId="1D185F91" w14:textId="77777777" w:rsidR="00606F55" w:rsidRPr="00FB6BFD" w:rsidRDefault="00606F55" w:rsidP="00606F55">
    <w:pPr>
      <w:keepLines/>
      <w:tabs>
        <w:tab w:val="right" w:pos="4660"/>
      </w:tabs>
      <w:autoSpaceDE w:val="0"/>
      <w:autoSpaceDN w:val="0"/>
      <w:adjustRightInd w:val="0"/>
      <w:spacing w:line="288" w:lineRule="auto"/>
      <w:ind w:left="360" w:hanging="360"/>
      <w:jc w:val="center"/>
      <w:textAlignment w:val="baseline"/>
      <w:rPr>
        <w:color w:val="000000"/>
        <w:spacing w:val="8"/>
        <w:sz w:val="16"/>
        <w:szCs w:val="16"/>
      </w:rPr>
    </w:pPr>
    <w:r w:rsidRPr="00737579">
      <w:rPr>
        <w:color w:val="000000"/>
        <w:spacing w:val="8"/>
        <w:sz w:val="16"/>
        <w:szCs w:val="16"/>
      </w:rPr>
      <w:t>(979) 458-60</w:t>
    </w:r>
    <w:r w:rsidR="00453E18">
      <w:rPr>
        <w:color w:val="000000"/>
        <w:spacing w:val="8"/>
        <w:sz w:val="16"/>
        <w:szCs w:val="16"/>
      </w:rPr>
      <w:t>08</w:t>
    </w:r>
    <w:r w:rsidRPr="00737579">
      <w:rPr>
        <w:color w:val="000000"/>
        <w:spacing w:val="8"/>
        <w:sz w:val="16"/>
        <w:szCs w:val="16"/>
      </w:rPr>
      <w:t xml:space="preserve"> </w:t>
    </w:r>
    <w:r w:rsidRPr="00737579">
      <w:rPr>
        <w:color w:val="000000"/>
        <w:spacing w:val="6"/>
        <w:position w:val="2"/>
        <w:sz w:val="12"/>
        <w:szCs w:val="12"/>
      </w:rPr>
      <w:t>•</w:t>
    </w:r>
    <w:r w:rsidRPr="00737579">
      <w:rPr>
        <w:color w:val="000000"/>
        <w:spacing w:val="8"/>
        <w:sz w:val="16"/>
        <w:szCs w:val="16"/>
      </w:rPr>
      <w:t xml:space="preserve"> Fax (979) 458-6150</w:t>
    </w:r>
    <w:r w:rsidRPr="00FB6BFD">
      <w:rPr>
        <w:color w:val="000000"/>
        <w:spacing w:val="8"/>
        <w:sz w:val="16"/>
        <w:szCs w:val="16"/>
      </w:rPr>
      <w:t xml:space="preserve"> </w:t>
    </w:r>
    <w:r w:rsidRPr="00FB6BFD">
      <w:rPr>
        <w:color w:val="000000"/>
        <w:spacing w:val="6"/>
        <w:position w:val="2"/>
        <w:sz w:val="12"/>
        <w:szCs w:val="12"/>
      </w:rPr>
      <w:t>•</w:t>
    </w:r>
    <w:r w:rsidRPr="00FB6BFD">
      <w:rPr>
        <w:color w:val="000000"/>
        <w:spacing w:val="8"/>
        <w:sz w:val="16"/>
        <w:szCs w:val="16"/>
      </w:rPr>
      <w:t xml:space="preserve"> www.tamus.edu</w:t>
    </w:r>
  </w:p>
  <w:p w14:paraId="1D185F92" w14:textId="77777777" w:rsidR="00606F55" w:rsidRDefault="00606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85F84" w14:textId="77777777" w:rsidR="00F83096" w:rsidRDefault="00F83096" w:rsidP="00606F55">
      <w:r>
        <w:separator/>
      </w:r>
    </w:p>
  </w:footnote>
  <w:footnote w:type="continuationSeparator" w:id="0">
    <w:p w14:paraId="1D185F85" w14:textId="77777777" w:rsidR="00F83096" w:rsidRDefault="00F83096" w:rsidP="00606F55">
      <w:r>
        <w:continuationSeparator/>
      </w:r>
    </w:p>
  </w:footnote>
  <w:footnote w:id="1">
    <w:p w14:paraId="68D68572" w14:textId="1500219D" w:rsidR="00075D9F" w:rsidRDefault="00075D9F">
      <w:pPr>
        <w:pStyle w:val="FootnoteText"/>
      </w:pPr>
      <w:r>
        <w:rPr>
          <w:rStyle w:val="FootnoteReference"/>
        </w:rPr>
        <w:footnoteRef/>
      </w:r>
      <w:r>
        <w:t xml:space="preserve"> Informal Resolution refers to any processes used to resolve complaints prior to a formal hearing. This includes both adjudicatory and non-adjudicatory practices.</w:t>
      </w:r>
    </w:p>
  </w:footnote>
  <w:footnote w:id="2">
    <w:p w14:paraId="22128CFC" w14:textId="01E8C157" w:rsidR="00907885" w:rsidRDefault="00907885" w:rsidP="005C37B5">
      <w:pPr>
        <w:pStyle w:val="FootnoteText"/>
      </w:pPr>
      <w:r>
        <w:rPr>
          <w:rStyle w:val="FootnoteReference"/>
        </w:rPr>
        <w:footnoteRef/>
      </w:r>
      <w:r>
        <w:t xml:space="preserve"> “Number of confidential reports” is a sub-set of the total number of reports that were received under Section </w:t>
      </w:r>
    </w:p>
    <w:p w14:paraId="3CB75978" w14:textId="77777777" w:rsidR="00907885" w:rsidRDefault="00907885" w:rsidP="005C37B5">
      <w:pPr>
        <w:pStyle w:val="FootnoteText"/>
      </w:pPr>
      <w:r>
        <w:t xml:space="preserve">51.252, by a confidential employee or office (e.g., Counseling Center, Student Health Center, Victim Advocate for </w:t>
      </w:r>
    </w:p>
    <w:p w14:paraId="1C413347" w14:textId="60F013BA" w:rsidR="00907885" w:rsidRDefault="00907885" w:rsidP="005C37B5">
      <w:pPr>
        <w:pStyle w:val="FootnoteText"/>
      </w:pPr>
      <w:r>
        <w:t>Students, or Student Ombuds). Confidential reports are not eligible for investigation</w:t>
      </w:r>
    </w:p>
  </w:footnote>
  <w:footnote w:id="3">
    <w:p w14:paraId="40C69A7D" w14:textId="77777777" w:rsidR="00907885" w:rsidRDefault="00907885" w:rsidP="000C763B">
      <w:pPr>
        <w:pStyle w:val="FootnoteText"/>
      </w:pPr>
      <w:r>
        <w:rPr>
          <w:rStyle w:val="FootnoteReference"/>
        </w:rPr>
        <w:footnoteRef/>
      </w:r>
      <w:r>
        <w:t xml:space="preserve"> “Disposition” means “final result under the institution’s disciplinary process” as defined in the Texas Higher </w:t>
      </w:r>
    </w:p>
    <w:p w14:paraId="5FC427CD" w14:textId="112961C5" w:rsidR="00907885" w:rsidRDefault="00907885" w:rsidP="000C763B">
      <w:pPr>
        <w:pStyle w:val="FootnoteText"/>
      </w:pPr>
      <w:r>
        <w:t xml:space="preserve">Education Coordinating Board’s (THECB) rules for TEC, Section 51.259 [See 19 Texas Administrative Code, </w:t>
      </w:r>
      <w:bookmarkStart w:id="0" w:name="_GoBack"/>
      <w:bookmarkEnd w:id="0"/>
      <w:r>
        <w:t>Section 3.6(3) (2019)]; therefore, pending disciplinary processes will not be listed until the final result is rendered.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5F8A" w14:textId="11D8E582" w:rsidR="00D7524B" w:rsidRDefault="005C37B5">
    <w:pPr>
      <w:pStyle w:val="Header"/>
    </w:pPr>
    <w:r>
      <w:t>Texas Education Code Section 51.252 and Section 51.255 Reporting</w:t>
    </w:r>
  </w:p>
  <w:p w14:paraId="48E958F5" w14:textId="42071469" w:rsidR="005C37B5" w:rsidRDefault="005C37B5">
    <w:pPr>
      <w:pStyle w:val="Header"/>
    </w:pPr>
    <w:r>
      <w:t>202</w:t>
    </w:r>
    <w:r w:rsidR="00393468">
      <w:t>2</w:t>
    </w:r>
    <w:r>
      <w:t>-202</w:t>
    </w:r>
    <w:r w:rsidR="00393468">
      <w:t>3</w:t>
    </w:r>
    <w:r>
      <w:t xml:space="preserve"> Academic Year</w:t>
    </w:r>
  </w:p>
  <w:p w14:paraId="3E3914BD" w14:textId="188D5B2D" w:rsidR="005C37B5" w:rsidRDefault="005C37B5">
    <w:pPr>
      <w:pStyle w:val="Header"/>
    </w:pPr>
    <w:r>
      <w:t>The Texas A&amp;M University System</w:t>
    </w:r>
  </w:p>
  <w:p w14:paraId="01EF888C" w14:textId="4A18AC28" w:rsidR="005C37B5" w:rsidRDefault="0027524D">
    <w:pPr>
      <w:pStyle w:val="Header"/>
    </w:pPr>
    <w:r>
      <w:t>WEST TEXAS A&amp;M UNIVERSITY</w:t>
    </w:r>
  </w:p>
  <w:p w14:paraId="1D185F8B" w14:textId="77777777" w:rsidR="00D7524B" w:rsidRDefault="00D752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5F8C" w14:textId="77777777" w:rsidR="00606F55" w:rsidRDefault="00606F55" w:rsidP="00606F55">
    <w:pPr>
      <w:pStyle w:val="Header"/>
      <w:jc w:val="center"/>
    </w:pPr>
    <w:r>
      <w:rPr>
        <w:noProof/>
      </w:rPr>
      <w:drawing>
        <wp:inline distT="0" distB="0" distL="0" distR="0" wp14:anchorId="1D185F93" wp14:editId="1D185F94">
          <wp:extent cx="990600" cy="981075"/>
          <wp:effectExtent l="0" t="0" r="0" b="9525"/>
          <wp:docPr id="1" name="Picture 1" descr="Maro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o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185F8D" w14:textId="77777777" w:rsidR="00606F55" w:rsidRPr="00FB6BFD" w:rsidRDefault="00453E18" w:rsidP="00606F55">
    <w:pPr>
      <w:pStyle w:val="BasicParagraph"/>
      <w:spacing w:before="120"/>
      <w:jc w:val="center"/>
      <w:rPr>
        <w:rFonts w:ascii="Times New Roman" w:hAnsi="Times New Roman" w:cs="Times New Roman"/>
        <w:spacing w:val="12"/>
        <w:sz w:val="22"/>
        <w:szCs w:val="22"/>
      </w:rPr>
    </w:pPr>
    <w:r>
      <w:rPr>
        <w:rFonts w:ascii="Times New Roman" w:hAnsi="Times New Roman" w:cs="Times New Roman"/>
        <w:spacing w:val="12"/>
        <w:sz w:val="22"/>
        <w:szCs w:val="22"/>
      </w:rPr>
      <w:t>System Ethics &amp; Compliance Office</w:t>
    </w:r>
  </w:p>
  <w:p w14:paraId="1D185F8E" w14:textId="77777777" w:rsidR="00606F55" w:rsidRPr="00606F55" w:rsidRDefault="00606F55" w:rsidP="00606F55">
    <w:pPr>
      <w:pStyle w:val="BasicParagraph"/>
      <w:spacing w:before="60"/>
      <w:jc w:val="center"/>
      <w:rPr>
        <w:rFonts w:ascii="Stone Serif" w:hAnsi="Stone Serif" w:cs="Stone Serif"/>
        <w:spacing w:val="12"/>
        <w:sz w:val="20"/>
        <w:szCs w:val="20"/>
      </w:rPr>
    </w:pPr>
    <w:r>
      <w:rPr>
        <w:noProof/>
      </w:rPr>
      <w:drawing>
        <wp:inline distT="0" distB="0" distL="0" distR="0" wp14:anchorId="1D185F95" wp14:editId="1D185F96">
          <wp:extent cx="3409950" cy="180975"/>
          <wp:effectExtent l="0" t="0" r="0" b="9525"/>
          <wp:docPr id="2" name="Picture 2" descr="The Texas A&amp;M University Sys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he Texas A&amp;M University Syste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393D"/>
    <w:multiLevelType w:val="hybridMultilevel"/>
    <w:tmpl w:val="809084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F1351"/>
    <w:multiLevelType w:val="hybridMultilevel"/>
    <w:tmpl w:val="EF9E4494"/>
    <w:lvl w:ilvl="0" w:tplc="E1C62F60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33A2A"/>
    <w:multiLevelType w:val="hybridMultilevel"/>
    <w:tmpl w:val="7020025A"/>
    <w:lvl w:ilvl="0" w:tplc="36640F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F91184"/>
    <w:multiLevelType w:val="hybridMultilevel"/>
    <w:tmpl w:val="4C2A7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D50E9"/>
    <w:multiLevelType w:val="hybridMultilevel"/>
    <w:tmpl w:val="1346D546"/>
    <w:lvl w:ilvl="0" w:tplc="1C8C677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55"/>
    <w:rsid w:val="00006F91"/>
    <w:rsid w:val="00065B6D"/>
    <w:rsid w:val="00075D9F"/>
    <w:rsid w:val="00093CED"/>
    <w:rsid w:val="000C763B"/>
    <w:rsid w:val="001069D6"/>
    <w:rsid w:val="00111705"/>
    <w:rsid w:val="00171853"/>
    <w:rsid w:val="001E32DD"/>
    <w:rsid w:val="00230DB1"/>
    <w:rsid w:val="0027524D"/>
    <w:rsid w:val="002C27AE"/>
    <w:rsid w:val="00312CD5"/>
    <w:rsid w:val="00361FD4"/>
    <w:rsid w:val="00366B99"/>
    <w:rsid w:val="00393468"/>
    <w:rsid w:val="003D3FAE"/>
    <w:rsid w:val="004239C2"/>
    <w:rsid w:val="00453E18"/>
    <w:rsid w:val="00501BA4"/>
    <w:rsid w:val="005100AD"/>
    <w:rsid w:val="005307BF"/>
    <w:rsid w:val="005507C7"/>
    <w:rsid w:val="00555077"/>
    <w:rsid w:val="00562ED2"/>
    <w:rsid w:val="00573820"/>
    <w:rsid w:val="005C37B5"/>
    <w:rsid w:val="00606F55"/>
    <w:rsid w:val="006172D5"/>
    <w:rsid w:val="0065302A"/>
    <w:rsid w:val="00676099"/>
    <w:rsid w:val="006A288E"/>
    <w:rsid w:val="006A55CA"/>
    <w:rsid w:val="006D7AF9"/>
    <w:rsid w:val="006E631E"/>
    <w:rsid w:val="006E6949"/>
    <w:rsid w:val="00806972"/>
    <w:rsid w:val="00817461"/>
    <w:rsid w:val="00875395"/>
    <w:rsid w:val="008B4EFF"/>
    <w:rsid w:val="00907885"/>
    <w:rsid w:val="0094592D"/>
    <w:rsid w:val="00995BE2"/>
    <w:rsid w:val="009E4775"/>
    <w:rsid w:val="00A0475D"/>
    <w:rsid w:val="00A729D0"/>
    <w:rsid w:val="00B76444"/>
    <w:rsid w:val="00B83F22"/>
    <w:rsid w:val="00B84E7F"/>
    <w:rsid w:val="00CA0CCC"/>
    <w:rsid w:val="00D7524B"/>
    <w:rsid w:val="00F54DD6"/>
    <w:rsid w:val="00F70C96"/>
    <w:rsid w:val="00F80A95"/>
    <w:rsid w:val="00F8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D185F82"/>
  <w15:docId w15:val="{95D5A278-C28A-4CCE-A26F-24801C79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F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F55"/>
  </w:style>
  <w:style w:type="paragraph" w:styleId="Footer">
    <w:name w:val="footer"/>
    <w:basedOn w:val="Normal"/>
    <w:link w:val="FooterChar"/>
    <w:uiPriority w:val="99"/>
    <w:unhideWhenUsed/>
    <w:rsid w:val="00606F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F55"/>
  </w:style>
  <w:style w:type="paragraph" w:styleId="BalloonText">
    <w:name w:val="Balloon Text"/>
    <w:basedOn w:val="Normal"/>
    <w:link w:val="BalloonTextChar"/>
    <w:uiPriority w:val="99"/>
    <w:semiHidden/>
    <w:unhideWhenUsed/>
    <w:rsid w:val="00606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F55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rsid w:val="00606F55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D7524B"/>
    <w:pPr>
      <w:ind w:left="720"/>
      <w:contextualSpacing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550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C37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37B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37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36372067A4D40A6F35C25D3196277" ma:contentTypeVersion="13" ma:contentTypeDescription="Create a new document." ma:contentTypeScope="" ma:versionID="584934953b28d06f3e8812e8ccfd6b4e">
  <xsd:schema xmlns:xsd="http://www.w3.org/2001/XMLSchema" xmlns:xs="http://www.w3.org/2001/XMLSchema" xmlns:p="http://schemas.microsoft.com/office/2006/metadata/properties" xmlns:ns3="2c9ee8dc-65ac-4035-ad6a-9db5cdf7b6a3" xmlns:ns4="0d5d918e-15c2-4044-a306-44ee7750fb1a" targetNamespace="http://schemas.microsoft.com/office/2006/metadata/properties" ma:root="true" ma:fieldsID="0bb9365d9eda5fb12f9665217588e80a" ns3:_="" ns4:_="">
    <xsd:import namespace="2c9ee8dc-65ac-4035-ad6a-9db5cdf7b6a3"/>
    <xsd:import namespace="0d5d918e-15c2-4044-a306-44ee7750fb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ee8dc-65ac-4035-ad6a-9db5cdf7b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d918e-15c2-4044-a306-44ee7750f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4CCBD-3AEC-4AE2-B593-26540DDC9CA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c9ee8dc-65ac-4035-ad6a-9db5cdf7b6a3"/>
    <ds:schemaRef ds:uri="0d5d918e-15c2-4044-a306-44ee7750fb1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6A9CDF-BBE2-49D8-B24C-F66E49FB2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ee8dc-65ac-4035-ad6a-9db5cdf7b6a3"/>
    <ds:schemaRef ds:uri="0d5d918e-15c2-4044-a306-44ee7750f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5F87D8-559D-4740-BD30-965FBDC86E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9C0655-7848-4EA7-8E7A-48590C49B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2629</Characters>
  <Application>Microsoft Office Word</Application>
  <DocSecurity>0</DocSecurity>
  <Lines>65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TAMUS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D. Canales</dc:creator>
  <cp:lastModifiedBy>Nancy Hampton</cp:lastModifiedBy>
  <cp:revision>2</cp:revision>
  <dcterms:created xsi:type="dcterms:W3CDTF">2023-10-24T17:23:00Z</dcterms:created>
  <dcterms:modified xsi:type="dcterms:W3CDTF">2023-10-24T17:23:00Z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0x01010089F36372067A4D40A6F35C25D3196277</vt:lpwstr>
  </property>
  <property fmtid="{D5CDD505-2E9C-101B-9397-08002B2CF9AE}" pid="3" name="GrammarlyDocumentId">
    <vt:lpwstr>3773be30cf0b9b69d3c45117c255f7b393f3a1890dad91eb1f8254f19b146309</vt:lpwstr>
  </property>
</Properties>
</file>